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006687"/>
          <w:sz w:val="36"/>
          <w:szCs w:val="36"/>
        </w:rPr>
        <w:t xml:space="preserve">HƯỚNG DẪN GIẢNG VIÊN CHẤM BÀI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Game mô phỏng kinh doanh BizOn Bật Nghiệp — Rubric một buổi &amp; Rubric học kỳ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© 2026 Đỗ Thùy Hương &amp; PGS.TS. Phan Anh Tú · thuyhuongctu.github.io/BizOn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1. Tổng quan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Tài liệu này hướng dẫn giảng viên chấm điểm khi triển khai BizOn Bật Nghiệp trong lớp học theo hai kịch bản: một buổi 90 phút và giải đấu cả học kỳ 15 tuần (chi tiết kịch bản tại trang «Kịch bản lớp học» trên website).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Nguyên tắc công bằng: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đối thủ AI của mỗi đội chạy theo hạt giống (seed) cố định nên kết quả tái lập được — không đội nào «gặp may» hơn đội nào. Điểm số vì vậy phản ánh chất lượng quyết định, không phản ánh may rủi.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2. Nguồn dữ liệu để chấm — lấy ở đâu trong game?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Tab «🏁 Tổng kết» (sau vòng 6): bảng xếp hạng theo thị phần, lợi nhuận lũy kế, biểu đồ theo vòng, thành tựu của đội.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Báo cáo «Chi phí đối thủ»: so sánh chi tiêu marketing, R&amp;D và hiệu quả ROI của đội với 3 đối thủ AI — dùng cho phần trình bày phân tích.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Nhật ký đội (vai SEC ghi): lý do ra quyết định từng vòng — căn cứ chấm chất lượng làm việc nhóm.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cờ đã cắm trên bản đồ và huy hiệu trong game.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Phiếu khảo sát trước–sau (trang khao-sat.html có bản in sẵn): đo mức tiến bộ kiến thức, đồng thời dùng làm minh chứng cho hồ sơ phát hành ứng dụng.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3. Rubric chấm MỘT BUỔI (thang 10)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1950"/>
        <w:gridCol w:w="1950"/>
        <w:gridCol w:w="1940"/>
      </w:tblGrid>
      <w:tr>
        <w:tc>
          <w:tcPr>
            <w:tcW w:type="dxa" w:w="270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Tiêu chí</w:t>
            </w:r>
          </w:p>
        </w:tc>
        <w:tc>
          <w:tcPr>
            <w:tcW w:type="dxa" w:w="110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Trọng số</w:t>
            </w:r>
          </w:p>
        </w:tc>
        <w:tc>
          <w:tcPr>
            <w:tcW w:type="dxa" w:w="195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Tốt (8–10)</w:t>
            </w:r>
          </w:p>
        </w:tc>
        <w:tc>
          <w:tcPr>
            <w:tcW w:type="dxa" w:w="195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Đạt (5–7)</w:t>
            </w:r>
          </w:p>
        </w:tc>
        <w:tc>
          <w:tcPr>
            <w:tcW w:type="dxa" w:w="194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Chưa đạt (&lt;5)</w:t>
            </w:r>
          </w:p>
        </w:tc>
      </w:tr>
      <w:tr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Kết quả kinh doanh (lợi nhuận lũy kế + số cờ cắm)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40%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Top 1/3 lớp; lợi nhuận dương, cắm ≥4 cờ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Giữa bảng; lợi nhuận quanh hòa vốn, 2–3 cờ</w:t>
            </w:r>
          </w:p>
        </w:tc>
        <w:tc>
          <w:tcPr>
            <w:tcW w:type="dxa" w:w="19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Cuối bảng; lỗ kéo dài, ≤1 cờ</w:t>
            </w:r>
          </w:p>
        </w:tc>
      </w:tr>
      <w:tr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Chất lượng làm việc nhóm theo vai trò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30%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Đủ 5 vai hoạt động đúng nhiệm vụ; nhật ký ghi đủ 6 vòng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Có phân vai nhưng 1–2 vai mờ nhạt; nhật ký thiếu 1–2 vòng</w:t>
            </w:r>
          </w:p>
        </w:tc>
        <w:tc>
          <w:tcPr>
            <w:tcW w:type="dxa" w:w="19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Một người quyết định thay cả đội; không có nhật ký</w:t>
            </w:r>
          </w:p>
        </w:tc>
      </w:tr>
      <w:tr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Bài trình bày rút kinh nghiệm (2 phút)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20%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Nêu đúng quyết định thắng/thua kèm số liệu; rút ra khái niệm (co giãn giá, hòa vốn...)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Kể lại diễn biến, ít số liệu</w:t>
            </w:r>
          </w:p>
        </w:tc>
        <w:tc>
          <w:tcPr>
            <w:tcW w:type="dxa" w:w="19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Không trình bày hoặc không dựa trên dữ liệu</w:t>
            </w:r>
          </w:p>
        </w:tc>
      </w:tr>
      <w:tr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Khảo sát và mức độ tham gia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10%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Nộp đủ phiếu trước–sau; tham gia đủ</w:t>
            </w:r>
          </w:p>
        </w:tc>
        <w:tc>
          <w:tcPr>
            <w:tcW w:type="dxa" w:w="19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Thiếu 1 phiếu</w:t>
            </w:r>
          </w:p>
        </w:tc>
        <w:tc>
          <w:tcPr>
            <w:tcW w:type="dxa" w:w="19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Không nộp phiếu</w:t>
            </w:r>
          </w:p>
        </w:tc>
      </w:tr>
    </w:tbl>
    <w:p>
      <w:pPr>
        <w:spacing w:after="12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Cách tính: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điểm mỗi tiêu chí (thang 10) × trọng số, cộng lại. Ví dụ: 9×40% + 8×30% + 7×20% + 10×10% = 8,4 điểm.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4. Rubric chấm CẢ HỌC KỲ (giải đấu 15 tuần)</w:t>
      </w:r>
    </w:p>
    <w:p>
      <w:pPr>
        <w:pStyle w:val="Heading2"/>
        <w:spacing w:after="100" w:before="220"/>
      </w:pPr>
      <w:r>
        <w:rPr>
          <w:rFonts w:ascii="Times New Roman" w:cs="Times New Roman" w:eastAsia="Times New Roman" w:hAnsi="Times New Roman"/>
          <w:b/>
          <w:bCs/>
          <w:color w:val="006687"/>
          <w:sz w:val="27"/>
          <w:szCs w:val="27"/>
        </w:rPr>
        <w:t xml:space="preserve">4.1. Điểm giải đấu hằng tuần (tạo động lực, chiếu bảng tổng sắp đầu mỗi buổi)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Sau mỗi vòng chơi, xếp hạng các đội theo thị phần (tiêu chí phụ: lợi nhuận lũy kế) và cộng điểm: hạng 1 → 10 điểm · hạng 2 → 8 · hạng 3 → 6 · hạng 4 → 5 · hạng 5 → 4 · hạng 6 → 3 · hạng 7 → 2 · hạng 8 trở đi → 1 điểm. Vòng chung kết tuần 14 thưởng 0–3 điểm.</w:t>
      </w:r>
    </w:p>
    <w:p>
      <w:pPr>
        <w:pStyle w:val="Heading2"/>
        <w:spacing w:after="100" w:before="220"/>
      </w:pPr>
      <w:r>
        <w:rPr>
          <w:rFonts w:ascii="Times New Roman" w:cs="Times New Roman" w:eastAsia="Times New Roman" w:hAnsi="Times New Roman"/>
          <w:b/>
          <w:bCs/>
          <w:color w:val="006687"/>
          <w:sz w:val="27"/>
          <w:szCs w:val="27"/>
        </w:rPr>
        <w:t xml:space="preserve">4.2. Cơ cấu điểm học phần (thang 10)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400"/>
        <w:gridCol w:w="4640"/>
      </w:tblGrid>
      <w:tr>
        <w:tc>
          <w:tcPr>
            <w:tcW w:type="dxa" w:w="360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Thành phần</w:t>
            </w:r>
          </w:p>
        </w:tc>
        <w:tc>
          <w:tcPr>
            <w:tcW w:type="dxa" w:w="140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Trọng số</w:t>
            </w:r>
          </w:p>
        </w:tc>
        <w:tc>
          <w:tcPr>
            <w:tcW w:type="dxa" w:w="464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Căn cứ chấm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Nhật ký quyết định hằng tuần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20%</w:t>
            </w:r>
          </w:p>
        </w:tc>
        <w:tc>
          <w:tcPr>
            <w:tcW w:type="dxa" w:w="46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Trung bình 11 tuần nộp (tuần 2–7, 9–13), chấm 0–10 mỗi trang: có số liệu, có lý do, có bài học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Trình bày giữa kỳ (tuần 8)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20%</w:t>
            </w:r>
          </w:p>
        </w:tc>
        <w:tc>
          <w:tcPr>
            <w:tcW w:type="dxa" w:w="46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 phút/đội từ tab «🏁 Tổng kết» + báo cáo «Chi phí đối thủ» — chấm chất lượng phân tích số liệu, không chỉ kết quả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Kết quả &amp; mức tiến bộ Mùa giải 2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20%</w:t>
            </w:r>
          </w:p>
        </w:tc>
        <w:tc>
          <w:tcPr>
            <w:tcW w:type="dxa" w:w="46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So sánh mùa 2 với mùa 1 của chính đội đó (thị phần, lợi nhuận); đội tiến bộ rõ được điểm cao dù thứ hạng chưa cao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Thuyết trình cuối kỳ (tuần 15)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30%</w:t>
            </w:r>
          </w:p>
        </w:tc>
        <w:tc>
          <w:tcPr>
            <w:tcW w:type="dxa" w:w="46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 phút/đội: chiến lược – số liệu – bài học; khuyến khích dùng biểu đồ từ game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Khảo sát + chuyên cần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10%</w:t>
            </w:r>
          </w:p>
        </w:tc>
        <w:tc>
          <w:tcPr>
            <w:tcW w:type="dxa" w:w="46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Phiếu trước–sau đầy đủ, hiện diện các buổi chơi</w:t>
            </w:r>
          </w:p>
        </w:tc>
      </w:tr>
    </w:tbl>
    <w:p>
      <w:pPr>
        <w:spacing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Lưu ý: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trọng số 20/20/20/30/10 là gợi ý theo kịch bản lớp học — điều chỉnh theo đề cương học phần của từng trường ngay tại dòng 3 của file Excel.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5. Quy trình chấm với file Excel «Bảng tổng sắp»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Tải file tại trang «Kịch bản lớp học» (mục 4) hoặc dùng bản được phát kèm tài liệu này. Các ô nền vàng chữ xanh là ô nhập; cột Tổng, Hạng và Điểm học phần tự tính.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Bước 1 — Sheet «Điểm giải đấu»: sau mỗi vòng, nhập điểm 10/8/6/5/4/3/2/1 cho từng đội.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Bước 2 — Sheet «Nhật ký tuần»: chấm 0–10 cho từng trang nhật ký nộp hằng tuần.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Bước 3 — Tuần 8 và tuần 15: nhập điểm Giữa kỳ, Mùa 2 &amp; tiến bộ, Thuyết trình, Khảo sát vào sheet «Điểm học phần».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Bước 4 — Cột «Điểm học phần» và «Hạng» tự tính — đối chiếu công bố cho lớp.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Dòng «Đội 1 · Rồng Tre Corp» trong file là ví dụ minh họa định dạng — thay bằng dữ liệu thật.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6. Phiếu khảo sát trước–sau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In từ trang khao-sat.html (có bản in sẵn). Phát phiếu «trước» ngay đầu buổi đầu tiên và phiếu «sau» khi kết thúc (buổi cuối). Nhập kết quả vào bảng tính với các cột: mã tự đặt · điểm phần A trước · điểm phần A sau · trung bình phần B trước · trung bình phần B sau. Chênh lệch trước–sau là minh chứng hiệu quả học tập — dùng được cho báo cáo môn học và hồ sơ phát hành ứng dụng trên CH Play.</w:t>
      </w:r>
    </w:p>
    <w:p>
      <w:pPr>
        <w:pStyle w:val="Heading1"/>
        <w:spacing w:after="140" w:before="280"/>
      </w:pPr>
      <w:r>
        <w:rPr>
          <w:rFonts w:ascii="Times New Roman" w:cs="Times New Roman" w:eastAsia="Times New Roman" w:hAnsi="Times New Roman"/>
          <w:b/>
          <w:bCs/>
          <w:color w:val="006687"/>
          <w:sz w:val="30"/>
          <w:szCs w:val="30"/>
        </w:rPr>
        <w:t xml:space="preserve">7. Tình huống thường gặp khi chấm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40"/>
      </w:tblGrid>
      <w:tr>
        <w:tc>
          <w:tcPr>
            <w:tcW w:type="dxa" w:w="330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Tình huống</w:t>
            </w:r>
          </w:p>
        </w:tc>
        <w:tc>
          <w:tcPr>
            <w:tcW w:type="dxa" w:w="6340"/>
            <w:shd w:fill="E3F0F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Cách xử lý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Đội 4 người (thiếu 1 vai)</w:t>
            </w:r>
          </w:p>
        </w:tc>
        <w:tc>
          <w:tcPr>
            <w:tcW w:type="dxa" w:w="63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CEO kiêm Thư ký pháp chế; không trừ điểm phân vai nếu nhật ký vẫn đầy đủ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Đội muốn chơi lại giữa chừng</w:t>
            </w:r>
          </w:p>
        </w:tc>
        <w:tc>
          <w:tcPr>
            <w:tcW w:type="dxa" w:w="63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Tiến trình lưu trên từng máy — chỉ cho chơi lại nếu cả lớp cùng chơi lại; nếu không, chấm theo ván đang có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Đội lãi cao nhưng thị phần thấp (hoặc ngược lại)</w:t>
            </w:r>
          </w:p>
        </w:tc>
        <w:tc>
          <w:tcPr>
            <w:tcW w:type="dxa" w:w="63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Không coi là lỗi — đây là tình huống thảo luận tốt; chấm theo đúng trọng số rubric và yêu cầu đội lý giải trong bài trình bày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Nghi ngờ đội nhập số liệu «ảo» khi báo cáo</w:t>
            </w:r>
          </w:p>
        </w:tc>
        <w:tc>
          <w:tcPr>
            <w:tcW w:type="dxa" w:w="63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Yêu cầu mở tab «🏁 Tổng kết» trực tiếp trên máy đội — số liệu trong game không sửa được sau khi khóa vòng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Sinh viên vắng buổi chơi</w:t>
            </w:r>
          </w:p>
        </w:tc>
        <w:tc>
          <w:tcPr>
            <w:tcW w:type="dxa" w:w="63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Chấm chuyên cần cá nhân theo phiếu khảo sát và xác nhận của đội; điểm đội giữ nguyên</w:t>
            </w:r>
          </w:p>
        </w:tc>
      </w:tr>
    </w:tbl>
    <w:p>
      <w:pPr>
        <w:spacing w:before="360"/>
        <w:jc w:val="center"/>
      </w:pPr>
      <w:r>
        <w:rPr>
          <w:rFonts w:ascii="Times New Roman" w:cs="Times New Roman" w:eastAsia="Times New Roman" w:hAnsi="Times New Roman"/>
          <w:i/>
          <w:iCs/>
          <w:color w:val="006687"/>
          <w:sz w:val="26"/>
          <w:szCs w:val="26"/>
        </w:rPr>
        <w:t xml:space="preserve">— Chúc thầy cô và các đội một mùa giải BizOn thật «bật» —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2026-07-29T01:39:36.945Z</dcterms:created>
  <dcterms:modified xsi:type="dcterms:W3CDTF">2026-07-29T01:39:36.982Z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